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B13" w:rsidRPr="0030669C" w:rsidRDefault="00466B13" w:rsidP="0030669C">
      <w:pPr>
        <w:spacing w:line="480" w:lineRule="auto"/>
        <w:rPr>
          <w:rFonts w:ascii="Times New Roman" w:hAnsi="Times New Roman" w:cs="Times New Roman"/>
          <w:sz w:val="24"/>
          <w:szCs w:val="24"/>
        </w:rPr>
      </w:pPr>
    </w:p>
    <w:p w:rsidR="00F34ED6" w:rsidRPr="0030669C" w:rsidRDefault="00F34ED6" w:rsidP="0030669C">
      <w:pPr>
        <w:spacing w:line="480" w:lineRule="auto"/>
        <w:jc w:val="center"/>
        <w:rPr>
          <w:rFonts w:ascii="Times New Roman" w:hAnsi="Times New Roman" w:cs="Times New Roman"/>
          <w:sz w:val="24"/>
          <w:szCs w:val="24"/>
        </w:rPr>
      </w:pPr>
    </w:p>
    <w:p w:rsidR="00F34ED6" w:rsidRPr="0030669C" w:rsidRDefault="00F34ED6" w:rsidP="0030669C">
      <w:pPr>
        <w:spacing w:line="480" w:lineRule="auto"/>
        <w:jc w:val="center"/>
        <w:rPr>
          <w:rFonts w:ascii="Times New Roman" w:hAnsi="Times New Roman" w:cs="Times New Roman"/>
          <w:sz w:val="24"/>
          <w:szCs w:val="24"/>
        </w:rPr>
      </w:pPr>
    </w:p>
    <w:p w:rsidR="00F34ED6" w:rsidRPr="0030669C" w:rsidRDefault="00F34ED6" w:rsidP="0030669C">
      <w:pPr>
        <w:spacing w:line="480" w:lineRule="auto"/>
        <w:jc w:val="center"/>
        <w:rPr>
          <w:rFonts w:ascii="Times New Roman" w:hAnsi="Times New Roman" w:cs="Times New Roman"/>
          <w:sz w:val="24"/>
          <w:szCs w:val="24"/>
        </w:rPr>
      </w:pPr>
    </w:p>
    <w:p w:rsidR="00F34ED6" w:rsidRPr="0030669C" w:rsidRDefault="00F34ED6" w:rsidP="0030669C">
      <w:pPr>
        <w:spacing w:line="480" w:lineRule="auto"/>
        <w:jc w:val="center"/>
        <w:rPr>
          <w:rFonts w:ascii="Times New Roman" w:hAnsi="Times New Roman" w:cs="Times New Roman"/>
          <w:sz w:val="24"/>
          <w:szCs w:val="24"/>
        </w:rPr>
      </w:pPr>
    </w:p>
    <w:p w:rsidR="00F34ED6" w:rsidRPr="0030669C" w:rsidRDefault="00F34ED6" w:rsidP="0030669C">
      <w:pPr>
        <w:spacing w:line="480" w:lineRule="auto"/>
        <w:jc w:val="center"/>
        <w:rPr>
          <w:rFonts w:ascii="Times New Roman" w:hAnsi="Times New Roman" w:cs="Times New Roman"/>
          <w:sz w:val="24"/>
          <w:szCs w:val="24"/>
        </w:rPr>
      </w:pPr>
    </w:p>
    <w:p w:rsidR="00466B13" w:rsidRPr="0030669C" w:rsidRDefault="00466B13" w:rsidP="0030669C">
      <w:pPr>
        <w:spacing w:line="480" w:lineRule="auto"/>
        <w:jc w:val="center"/>
        <w:rPr>
          <w:rFonts w:ascii="Times New Roman" w:hAnsi="Times New Roman" w:cs="Times New Roman"/>
          <w:sz w:val="24"/>
          <w:szCs w:val="24"/>
        </w:rPr>
      </w:pPr>
      <w:r w:rsidRPr="0030669C">
        <w:rPr>
          <w:rFonts w:ascii="Times New Roman" w:hAnsi="Times New Roman" w:cs="Times New Roman"/>
          <w:sz w:val="24"/>
          <w:szCs w:val="24"/>
        </w:rPr>
        <w:t>Employment and Labor Law</w:t>
      </w:r>
    </w:p>
    <w:p w:rsidR="00466B13" w:rsidRPr="0030669C" w:rsidRDefault="00466B13" w:rsidP="0030669C">
      <w:pPr>
        <w:spacing w:line="480" w:lineRule="auto"/>
        <w:jc w:val="center"/>
        <w:rPr>
          <w:rFonts w:ascii="Times New Roman" w:hAnsi="Times New Roman" w:cs="Times New Roman"/>
          <w:sz w:val="24"/>
          <w:szCs w:val="24"/>
        </w:rPr>
      </w:pPr>
      <w:r w:rsidRPr="0030669C">
        <w:rPr>
          <w:rFonts w:ascii="Times New Roman" w:hAnsi="Times New Roman" w:cs="Times New Roman"/>
          <w:sz w:val="24"/>
          <w:szCs w:val="24"/>
        </w:rPr>
        <w:t>Student Affiliation</w:t>
      </w:r>
    </w:p>
    <w:p w:rsidR="00466B13" w:rsidRPr="0030669C" w:rsidRDefault="00466B13" w:rsidP="0030669C">
      <w:pPr>
        <w:spacing w:line="480" w:lineRule="auto"/>
        <w:jc w:val="center"/>
        <w:rPr>
          <w:rFonts w:ascii="Times New Roman" w:hAnsi="Times New Roman" w:cs="Times New Roman"/>
          <w:sz w:val="24"/>
          <w:szCs w:val="24"/>
        </w:rPr>
      </w:pPr>
      <w:r w:rsidRPr="0030669C">
        <w:rPr>
          <w:rFonts w:ascii="Times New Roman" w:hAnsi="Times New Roman" w:cs="Times New Roman"/>
          <w:sz w:val="24"/>
          <w:szCs w:val="24"/>
        </w:rPr>
        <w:t>Institution Affiliation</w:t>
      </w:r>
    </w:p>
    <w:p w:rsidR="00466B13" w:rsidRPr="0030669C" w:rsidRDefault="00466B13" w:rsidP="0030669C">
      <w:pPr>
        <w:spacing w:line="480" w:lineRule="auto"/>
        <w:jc w:val="center"/>
        <w:rPr>
          <w:rFonts w:ascii="Times New Roman" w:hAnsi="Times New Roman" w:cs="Times New Roman"/>
          <w:sz w:val="24"/>
          <w:szCs w:val="24"/>
        </w:rPr>
      </w:pPr>
      <w:r w:rsidRPr="0030669C">
        <w:rPr>
          <w:rFonts w:ascii="Times New Roman" w:hAnsi="Times New Roman" w:cs="Times New Roman"/>
          <w:sz w:val="24"/>
          <w:szCs w:val="24"/>
        </w:rPr>
        <w:t>Date</w:t>
      </w:r>
    </w:p>
    <w:p w:rsidR="00F34ED6" w:rsidRPr="0030669C" w:rsidRDefault="00F34ED6" w:rsidP="0030669C">
      <w:pPr>
        <w:spacing w:line="480" w:lineRule="auto"/>
        <w:jc w:val="center"/>
        <w:rPr>
          <w:rFonts w:ascii="Times New Roman" w:hAnsi="Times New Roman" w:cs="Times New Roman"/>
          <w:sz w:val="24"/>
          <w:szCs w:val="24"/>
        </w:rPr>
      </w:pPr>
    </w:p>
    <w:p w:rsidR="00F34ED6" w:rsidRPr="0030669C" w:rsidRDefault="00F34ED6" w:rsidP="0030669C">
      <w:pPr>
        <w:spacing w:line="480" w:lineRule="auto"/>
        <w:jc w:val="center"/>
        <w:rPr>
          <w:rFonts w:ascii="Times New Roman" w:hAnsi="Times New Roman" w:cs="Times New Roman"/>
          <w:sz w:val="24"/>
          <w:szCs w:val="24"/>
        </w:rPr>
      </w:pPr>
    </w:p>
    <w:p w:rsidR="00F34ED6" w:rsidRPr="0030669C" w:rsidRDefault="00F34ED6" w:rsidP="0030669C">
      <w:pPr>
        <w:spacing w:line="480" w:lineRule="auto"/>
        <w:jc w:val="center"/>
        <w:rPr>
          <w:rFonts w:ascii="Times New Roman" w:hAnsi="Times New Roman" w:cs="Times New Roman"/>
          <w:sz w:val="24"/>
          <w:szCs w:val="24"/>
        </w:rPr>
      </w:pPr>
    </w:p>
    <w:p w:rsidR="00F34ED6" w:rsidRPr="0030669C" w:rsidRDefault="00F34ED6" w:rsidP="0030669C">
      <w:pPr>
        <w:spacing w:line="480" w:lineRule="auto"/>
        <w:jc w:val="center"/>
        <w:rPr>
          <w:rFonts w:ascii="Times New Roman" w:hAnsi="Times New Roman" w:cs="Times New Roman"/>
          <w:sz w:val="24"/>
          <w:szCs w:val="24"/>
        </w:rPr>
      </w:pPr>
    </w:p>
    <w:p w:rsidR="00F34ED6" w:rsidRPr="0030669C" w:rsidRDefault="00F34ED6" w:rsidP="0030669C">
      <w:pPr>
        <w:spacing w:line="480" w:lineRule="auto"/>
        <w:jc w:val="center"/>
        <w:rPr>
          <w:rFonts w:ascii="Times New Roman" w:hAnsi="Times New Roman" w:cs="Times New Roman"/>
          <w:sz w:val="24"/>
          <w:szCs w:val="24"/>
        </w:rPr>
      </w:pPr>
    </w:p>
    <w:p w:rsidR="00F34ED6" w:rsidRPr="0030669C" w:rsidRDefault="00F34ED6" w:rsidP="0030669C">
      <w:pPr>
        <w:spacing w:line="480" w:lineRule="auto"/>
        <w:jc w:val="center"/>
        <w:rPr>
          <w:rFonts w:ascii="Times New Roman" w:hAnsi="Times New Roman" w:cs="Times New Roman"/>
          <w:sz w:val="24"/>
          <w:szCs w:val="24"/>
        </w:rPr>
      </w:pPr>
    </w:p>
    <w:p w:rsidR="00F34ED6" w:rsidRPr="0030669C" w:rsidRDefault="00F34ED6" w:rsidP="0030669C">
      <w:pPr>
        <w:spacing w:line="480" w:lineRule="auto"/>
        <w:jc w:val="center"/>
        <w:rPr>
          <w:rFonts w:ascii="Times New Roman" w:hAnsi="Times New Roman" w:cs="Times New Roman"/>
          <w:sz w:val="24"/>
          <w:szCs w:val="24"/>
        </w:rPr>
      </w:pPr>
    </w:p>
    <w:p w:rsidR="00542286" w:rsidRDefault="00542286" w:rsidP="0054228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Employment and Labor Law</w:t>
      </w:r>
    </w:p>
    <w:p w:rsidR="00F34ED6" w:rsidRPr="0030669C" w:rsidRDefault="00F34ED6" w:rsidP="003D795C">
      <w:pPr>
        <w:spacing w:line="480" w:lineRule="auto"/>
        <w:ind w:firstLine="720"/>
        <w:rPr>
          <w:rFonts w:ascii="Times New Roman" w:hAnsi="Times New Roman" w:cs="Times New Roman"/>
          <w:sz w:val="24"/>
          <w:szCs w:val="24"/>
        </w:rPr>
      </w:pPr>
      <w:r w:rsidRPr="0030669C">
        <w:rPr>
          <w:rFonts w:ascii="Times New Roman" w:hAnsi="Times New Roman" w:cs="Times New Roman"/>
          <w:sz w:val="24"/>
          <w:szCs w:val="24"/>
        </w:rPr>
        <w:t>The employers are expected to consider a union as an exclusive representative of the employees especially when a good number of the employees support the Union. The union can display its majority support by winning a representation election or through a signed authorization signed card. Once the employers are aware of the majority support</w:t>
      </w:r>
      <w:r w:rsidR="000A1556">
        <w:rPr>
          <w:rFonts w:ascii="Times New Roman" w:hAnsi="Times New Roman" w:cs="Times New Roman"/>
          <w:sz w:val="24"/>
          <w:szCs w:val="24"/>
        </w:rPr>
        <w:t>,</w:t>
      </w:r>
      <w:r w:rsidRPr="0030669C">
        <w:rPr>
          <w:rFonts w:ascii="Times New Roman" w:hAnsi="Times New Roman" w:cs="Times New Roman"/>
          <w:sz w:val="24"/>
          <w:szCs w:val="24"/>
        </w:rPr>
        <w:t xml:space="preserve"> the employers can bargain with the union in regards to the process dictated in section 8(d) of the National Labor Relations Board. According to section 8(d), the employers have a legal role to bargain in good faith with the employees’ representatives as well as to sign any collective bargaining agreement that might emerge in the process. The legal duty entails</w:t>
      </w:r>
      <w:r w:rsidR="000A1556">
        <w:rPr>
          <w:rFonts w:ascii="Times New Roman" w:hAnsi="Times New Roman" w:cs="Times New Roman"/>
          <w:sz w:val="24"/>
          <w:szCs w:val="24"/>
        </w:rPr>
        <w:t xml:space="preserve"> many obligations such as not making</w:t>
      </w:r>
      <w:r w:rsidRPr="0030669C">
        <w:rPr>
          <w:rFonts w:ascii="Times New Roman" w:hAnsi="Times New Roman" w:cs="Times New Roman"/>
          <w:sz w:val="24"/>
          <w:szCs w:val="24"/>
        </w:rPr>
        <w:t xml:space="preserve"> any changes in the organization without bargaining with the union as well as not to bypass the union and deal</w:t>
      </w:r>
      <w:r w:rsidR="0030669C" w:rsidRPr="0030669C">
        <w:rPr>
          <w:rFonts w:ascii="Times New Roman" w:hAnsi="Times New Roman" w:cs="Times New Roman"/>
          <w:sz w:val="24"/>
          <w:szCs w:val="24"/>
        </w:rPr>
        <w:t xml:space="preserve"> with the employees represented (</w:t>
      </w:r>
      <w:r w:rsidR="0030669C" w:rsidRPr="0030669C">
        <w:rPr>
          <w:rFonts w:ascii="Times New Roman" w:hAnsi="Times New Roman" w:cs="Times New Roman"/>
          <w:color w:val="222222"/>
          <w:sz w:val="24"/>
          <w:szCs w:val="24"/>
          <w:shd w:val="clear" w:color="auto" w:fill="FFFFFF"/>
        </w:rPr>
        <w:t>GARRISON et al., 2018).</w:t>
      </w:r>
    </w:p>
    <w:p w:rsidR="00F34ED6" w:rsidRPr="0030669C" w:rsidRDefault="00F34ED6" w:rsidP="003D795C">
      <w:pPr>
        <w:spacing w:line="480" w:lineRule="auto"/>
        <w:ind w:firstLine="720"/>
        <w:rPr>
          <w:rFonts w:ascii="Times New Roman" w:hAnsi="Times New Roman" w:cs="Times New Roman"/>
          <w:sz w:val="24"/>
          <w:szCs w:val="24"/>
        </w:rPr>
      </w:pPr>
      <w:r w:rsidRPr="0030669C">
        <w:rPr>
          <w:rFonts w:ascii="Times New Roman" w:hAnsi="Times New Roman" w:cs="Times New Roman"/>
          <w:sz w:val="24"/>
          <w:szCs w:val="24"/>
        </w:rPr>
        <w:t>An employer might refuse to bargain with the Union when the two unions are seeking t</w:t>
      </w:r>
      <w:r w:rsidR="000A1556">
        <w:rPr>
          <w:rFonts w:ascii="Times New Roman" w:hAnsi="Times New Roman" w:cs="Times New Roman"/>
          <w:sz w:val="24"/>
          <w:szCs w:val="24"/>
        </w:rPr>
        <w:t>o</w:t>
      </w:r>
      <w:r w:rsidRPr="0030669C">
        <w:rPr>
          <w:rFonts w:ascii="Times New Roman" w:hAnsi="Times New Roman" w:cs="Times New Roman"/>
          <w:sz w:val="24"/>
          <w:szCs w:val="24"/>
        </w:rPr>
        <w:t xml:space="preserve"> represent the employers’ workers. The deliberate negotiation of the collective agreement is a basic aspect of freedom of association that entails the duty to negotiate in good faith to enhance harmonious labor relations. Employers and the trade unions are expected to negotiate in good faith to reach an agreement. A constructive negotiation establishes confidence between the trade unions and employers. Meanwhile, the existence of the autonomy of the trade Unions does not establish recognition of associations for bargaining purposes. For instance, in the context where multiple unions are representing the employers’ workers, the employer can decide to develop predetermined objective criteria which will aid in deciding how a union should be recognized for collective bargaining. In such cases, the employers might as well refuse to bargain with either of the </w:t>
      </w:r>
      <w:r w:rsidR="0030669C" w:rsidRPr="0030669C">
        <w:rPr>
          <w:rFonts w:ascii="Times New Roman" w:hAnsi="Times New Roman" w:cs="Times New Roman"/>
          <w:sz w:val="24"/>
          <w:szCs w:val="24"/>
        </w:rPr>
        <w:t>unions representing the workers (</w:t>
      </w:r>
      <w:r w:rsidR="0030669C" w:rsidRPr="0030669C">
        <w:rPr>
          <w:rFonts w:ascii="Times New Roman" w:hAnsi="Times New Roman" w:cs="Times New Roman"/>
          <w:color w:val="222222"/>
          <w:sz w:val="24"/>
          <w:szCs w:val="24"/>
          <w:shd w:val="clear" w:color="auto" w:fill="FFFFFF"/>
        </w:rPr>
        <w:t>Kebede, 2019).</w:t>
      </w:r>
    </w:p>
    <w:p w:rsidR="00F34ED6" w:rsidRPr="0030669C" w:rsidRDefault="00F34ED6" w:rsidP="003D795C">
      <w:pPr>
        <w:spacing w:line="480" w:lineRule="auto"/>
        <w:ind w:firstLine="720"/>
        <w:rPr>
          <w:rFonts w:ascii="Times New Roman" w:hAnsi="Times New Roman" w:cs="Times New Roman"/>
          <w:sz w:val="24"/>
          <w:szCs w:val="24"/>
        </w:rPr>
      </w:pPr>
      <w:r w:rsidRPr="0030669C">
        <w:rPr>
          <w:rFonts w:ascii="Times New Roman" w:hAnsi="Times New Roman" w:cs="Times New Roman"/>
          <w:sz w:val="24"/>
          <w:szCs w:val="24"/>
        </w:rPr>
        <w:lastRenderedPageBreak/>
        <w:t xml:space="preserve">Mandatory bargaining subjects also known as mandatory subjects of bargaining refer to the subjects represented in the legal language of hours, wages, as well as terms and </w:t>
      </w:r>
      <w:r w:rsidR="0030669C" w:rsidRPr="0030669C">
        <w:rPr>
          <w:rFonts w:ascii="Times New Roman" w:hAnsi="Times New Roman" w:cs="Times New Roman"/>
          <w:sz w:val="24"/>
          <w:szCs w:val="24"/>
        </w:rPr>
        <w:t xml:space="preserve">conditions. </w:t>
      </w:r>
      <w:r w:rsidRPr="0030669C">
        <w:rPr>
          <w:rFonts w:ascii="Times New Roman" w:hAnsi="Times New Roman" w:cs="Times New Roman"/>
          <w:sz w:val="24"/>
          <w:szCs w:val="24"/>
        </w:rPr>
        <w:t>Subjects are usua</w:t>
      </w:r>
      <w:r w:rsidR="000A1556">
        <w:rPr>
          <w:rFonts w:ascii="Times New Roman" w:hAnsi="Times New Roman" w:cs="Times New Roman"/>
          <w:sz w:val="24"/>
          <w:szCs w:val="24"/>
        </w:rPr>
        <w:t>lly considered mandatory when they have</w:t>
      </w:r>
      <w:r w:rsidRPr="0030669C">
        <w:rPr>
          <w:rFonts w:ascii="Times New Roman" w:hAnsi="Times New Roman" w:cs="Times New Roman"/>
          <w:sz w:val="24"/>
          <w:szCs w:val="24"/>
        </w:rPr>
        <w:t xml:space="preserve"> direct impacts on the employment relationship. Since the public employees are not allowed to engage in a strike</w:t>
      </w:r>
      <w:r w:rsidR="000A1556">
        <w:rPr>
          <w:rFonts w:ascii="Times New Roman" w:hAnsi="Times New Roman" w:cs="Times New Roman"/>
          <w:sz w:val="24"/>
          <w:szCs w:val="24"/>
        </w:rPr>
        <w:t>,</w:t>
      </w:r>
      <w:r w:rsidRPr="0030669C">
        <w:rPr>
          <w:rFonts w:ascii="Times New Roman" w:hAnsi="Times New Roman" w:cs="Times New Roman"/>
          <w:sz w:val="24"/>
          <w:szCs w:val="24"/>
        </w:rPr>
        <w:t xml:space="preserve"> the court has demonstrated what entails mandatory bargaining subjects. Other examples entail, overtime pay, credit hours, pensions, shift differentials, rental of company hoses, sick leave, retirement age, profit-sharing plans, work rules, management rights, grievances procedures, and healthcare benefits. After a subject has been declared mandatory</w:t>
      </w:r>
      <w:r w:rsidR="000A1556">
        <w:rPr>
          <w:rFonts w:ascii="Times New Roman" w:hAnsi="Times New Roman" w:cs="Times New Roman"/>
          <w:sz w:val="24"/>
          <w:szCs w:val="24"/>
        </w:rPr>
        <w:t>,</w:t>
      </w:r>
      <w:r w:rsidRPr="0030669C">
        <w:rPr>
          <w:rFonts w:ascii="Times New Roman" w:hAnsi="Times New Roman" w:cs="Times New Roman"/>
          <w:sz w:val="24"/>
          <w:szCs w:val="24"/>
        </w:rPr>
        <w:t xml:space="preserve"> the parties are allowed to negotiate about it until an impasse is attained. An impasse refers to the negotiating effort without a change in one’s position. An impasse does not mean the parties have met the legal standard for the subject to be implemented but rather it suspends the bargaining of that specific subject until when one of the parties agrees to change their position. The significance of the item considered to be mandatory is that it prohibits the employer to make a change without consulting the employees and also it provides the union </w:t>
      </w:r>
      <w:r w:rsidR="0030669C" w:rsidRPr="0030669C">
        <w:rPr>
          <w:rFonts w:ascii="Times New Roman" w:hAnsi="Times New Roman" w:cs="Times New Roman"/>
          <w:sz w:val="24"/>
          <w:szCs w:val="24"/>
        </w:rPr>
        <w:t>with the opportunity to bargain (</w:t>
      </w:r>
      <w:r w:rsidR="0030669C" w:rsidRPr="0030669C">
        <w:rPr>
          <w:rFonts w:ascii="Times New Roman" w:hAnsi="Times New Roman" w:cs="Times New Roman"/>
          <w:color w:val="222222"/>
          <w:sz w:val="24"/>
          <w:szCs w:val="24"/>
          <w:shd w:val="clear" w:color="auto" w:fill="FFFFFF"/>
        </w:rPr>
        <w:t>Tomassetti, 2018).</w:t>
      </w:r>
    </w:p>
    <w:p w:rsidR="00F34ED6" w:rsidRPr="0030669C" w:rsidRDefault="00F34ED6" w:rsidP="003D795C">
      <w:pPr>
        <w:spacing w:line="480" w:lineRule="auto"/>
        <w:ind w:firstLine="720"/>
        <w:rPr>
          <w:rFonts w:ascii="Times New Roman" w:hAnsi="Times New Roman" w:cs="Times New Roman"/>
          <w:sz w:val="24"/>
          <w:szCs w:val="24"/>
        </w:rPr>
      </w:pPr>
      <w:r w:rsidRPr="0030669C">
        <w:rPr>
          <w:rFonts w:ascii="Times New Roman" w:hAnsi="Times New Roman" w:cs="Times New Roman"/>
          <w:sz w:val="24"/>
          <w:szCs w:val="24"/>
        </w:rPr>
        <w:t>In conclusion, the labor union is an association that aims at protecting the interest of the workers as well as improving the working condition of its members. The union usually serves as an intermediary between the workers and their employers. Its purpose is to provide a room to negotiate a favorable working environmen</w:t>
      </w:r>
      <w:r w:rsidR="0030669C">
        <w:rPr>
          <w:rFonts w:ascii="Times New Roman" w:hAnsi="Times New Roman" w:cs="Times New Roman"/>
          <w:sz w:val="24"/>
          <w:szCs w:val="24"/>
        </w:rPr>
        <w:t xml:space="preserve">t through collective bargaining </w:t>
      </w:r>
      <w:r w:rsidR="0030669C" w:rsidRPr="0030669C">
        <w:rPr>
          <w:rFonts w:ascii="Times New Roman" w:hAnsi="Times New Roman" w:cs="Times New Roman"/>
          <w:sz w:val="24"/>
          <w:szCs w:val="24"/>
        </w:rPr>
        <w:t>(</w:t>
      </w:r>
      <w:r w:rsidR="0030669C" w:rsidRPr="0030669C">
        <w:rPr>
          <w:rFonts w:ascii="Times New Roman" w:hAnsi="Times New Roman" w:cs="Times New Roman"/>
          <w:color w:val="222222"/>
          <w:sz w:val="24"/>
          <w:szCs w:val="24"/>
          <w:shd w:val="clear" w:color="auto" w:fill="FFFFFF"/>
        </w:rPr>
        <w:t>Kebede, 2019).</w:t>
      </w:r>
    </w:p>
    <w:p w:rsidR="00F34ED6" w:rsidRPr="0030669C" w:rsidRDefault="00F34ED6" w:rsidP="0030669C">
      <w:pPr>
        <w:spacing w:line="480" w:lineRule="auto"/>
        <w:rPr>
          <w:rFonts w:ascii="Times New Roman" w:hAnsi="Times New Roman" w:cs="Times New Roman"/>
          <w:sz w:val="24"/>
          <w:szCs w:val="24"/>
        </w:rPr>
      </w:pPr>
    </w:p>
    <w:p w:rsidR="00F34ED6" w:rsidRPr="0030669C" w:rsidRDefault="00F34ED6" w:rsidP="0030669C">
      <w:pPr>
        <w:spacing w:line="480" w:lineRule="auto"/>
        <w:rPr>
          <w:rFonts w:ascii="Times New Roman" w:hAnsi="Times New Roman" w:cs="Times New Roman"/>
          <w:sz w:val="24"/>
          <w:szCs w:val="24"/>
        </w:rPr>
      </w:pPr>
    </w:p>
    <w:p w:rsidR="00F34ED6" w:rsidRPr="0030669C" w:rsidRDefault="00F34ED6" w:rsidP="0030669C">
      <w:pPr>
        <w:spacing w:line="480" w:lineRule="auto"/>
        <w:rPr>
          <w:rFonts w:ascii="Times New Roman" w:hAnsi="Times New Roman" w:cs="Times New Roman"/>
          <w:sz w:val="24"/>
          <w:szCs w:val="24"/>
        </w:rPr>
      </w:pPr>
    </w:p>
    <w:p w:rsidR="00F34ED6" w:rsidRPr="0030669C" w:rsidRDefault="00F34ED6" w:rsidP="0030669C">
      <w:pPr>
        <w:spacing w:line="480" w:lineRule="auto"/>
        <w:jc w:val="center"/>
        <w:rPr>
          <w:rFonts w:ascii="Times New Roman" w:hAnsi="Times New Roman" w:cs="Times New Roman"/>
          <w:sz w:val="24"/>
          <w:szCs w:val="24"/>
        </w:rPr>
      </w:pPr>
      <w:r w:rsidRPr="0030669C">
        <w:rPr>
          <w:rFonts w:ascii="Times New Roman" w:hAnsi="Times New Roman" w:cs="Times New Roman"/>
          <w:sz w:val="24"/>
          <w:szCs w:val="24"/>
        </w:rPr>
        <w:lastRenderedPageBreak/>
        <w:t>References</w:t>
      </w:r>
    </w:p>
    <w:p w:rsidR="0030669C" w:rsidRPr="0030669C" w:rsidRDefault="0030669C" w:rsidP="0030669C">
      <w:pPr>
        <w:spacing w:line="480" w:lineRule="auto"/>
        <w:ind w:left="720" w:hanging="720"/>
        <w:rPr>
          <w:rFonts w:ascii="Times New Roman" w:hAnsi="Times New Roman" w:cs="Times New Roman"/>
          <w:color w:val="222222"/>
          <w:sz w:val="24"/>
          <w:szCs w:val="24"/>
          <w:shd w:val="clear" w:color="auto" w:fill="FFFFFF"/>
        </w:rPr>
      </w:pPr>
      <w:r w:rsidRPr="0030669C">
        <w:rPr>
          <w:rFonts w:ascii="Times New Roman" w:hAnsi="Times New Roman" w:cs="Times New Roman"/>
          <w:color w:val="222222"/>
          <w:sz w:val="24"/>
          <w:szCs w:val="24"/>
          <w:shd w:val="clear" w:color="auto" w:fill="FFFFFF"/>
        </w:rPr>
        <w:t>GARRISON, F. D., TAUBMAN, E. G., &amp; LEGAL, E. (2018). NATIONAL LABOR RELATIONS BOARD.</w:t>
      </w:r>
    </w:p>
    <w:p w:rsidR="0030669C" w:rsidRPr="0030669C" w:rsidRDefault="0030669C" w:rsidP="0030669C">
      <w:pPr>
        <w:spacing w:line="480" w:lineRule="auto"/>
        <w:ind w:left="720" w:hanging="720"/>
        <w:rPr>
          <w:rFonts w:ascii="Times New Roman" w:hAnsi="Times New Roman" w:cs="Times New Roman"/>
          <w:color w:val="222222"/>
          <w:sz w:val="24"/>
          <w:szCs w:val="24"/>
          <w:shd w:val="clear" w:color="auto" w:fill="FFFFFF"/>
        </w:rPr>
      </w:pPr>
      <w:r w:rsidRPr="0030669C">
        <w:rPr>
          <w:rFonts w:ascii="Times New Roman" w:hAnsi="Times New Roman" w:cs="Times New Roman"/>
          <w:color w:val="222222"/>
          <w:sz w:val="24"/>
          <w:szCs w:val="24"/>
          <w:shd w:val="clear" w:color="auto" w:fill="FFFFFF"/>
        </w:rPr>
        <w:t>Kebede, E. (2019). </w:t>
      </w:r>
      <w:r w:rsidRPr="0030669C">
        <w:rPr>
          <w:rFonts w:ascii="Times New Roman" w:hAnsi="Times New Roman" w:cs="Times New Roman"/>
          <w:i/>
          <w:iCs/>
          <w:color w:val="222222"/>
          <w:sz w:val="24"/>
          <w:szCs w:val="24"/>
          <w:shd w:val="clear" w:color="auto" w:fill="FFFFFF"/>
        </w:rPr>
        <w:t>The Role of Labor Union in Maintaining Good Industrial Relation in the Case of Horizon Addis Tire Share Company</w:t>
      </w:r>
      <w:r w:rsidRPr="0030669C">
        <w:rPr>
          <w:rFonts w:ascii="Times New Roman" w:hAnsi="Times New Roman" w:cs="Times New Roman"/>
          <w:color w:val="222222"/>
          <w:sz w:val="24"/>
          <w:szCs w:val="24"/>
          <w:shd w:val="clear" w:color="auto" w:fill="FFFFFF"/>
        </w:rPr>
        <w:t> (Doctoral dissertation, Addis Ababa University).</w:t>
      </w:r>
    </w:p>
    <w:p w:rsidR="0030669C" w:rsidRPr="0030669C" w:rsidRDefault="0030669C" w:rsidP="0030669C">
      <w:pPr>
        <w:spacing w:line="480" w:lineRule="auto"/>
        <w:ind w:left="720" w:hanging="720"/>
        <w:rPr>
          <w:rFonts w:ascii="Times New Roman" w:hAnsi="Times New Roman" w:cs="Times New Roman"/>
          <w:sz w:val="24"/>
          <w:szCs w:val="24"/>
        </w:rPr>
      </w:pPr>
      <w:r w:rsidRPr="0030669C">
        <w:rPr>
          <w:rFonts w:ascii="Times New Roman" w:hAnsi="Times New Roman" w:cs="Times New Roman"/>
          <w:color w:val="222222"/>
          <w:sz w:val="24"/>
          <w:szCs w:val="24"/>
          <w:shd w:val="clear" w:color="auto" w:fill="FFFFFF"/>
        </w:rPr>
        <w:t>Tomassetti, J. (2018). Rebalancing Worker Rights and Property Rights in Digitalised Work.</w:t>
      </w:r>
      <w:r w:rsidR="00F50461">
        <w:rPr>
          <w:rFonts w:ascii="Times New Roman" w:hAnsi="Times New Roman" w:cs="Times New Roman"/>
          <w:color w:val="222222"/>
          <w:sz w:val="24"/>
          <w:szCs w:val="24"/>
          <w:shd w:val="clear" w:color="auto" w:fill="FFFFFF"/>
        </w:rPr>
        <w:t xml:space="preserve"> Routledge.</w:t>
      </w:r>
    </w:p>
    <w:sectPr w:rsidR="0030669C" w:rsidRPr="0030669C" w:rsidSect="00F34E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0586" w:rsidRDefault="006C0586" w:rsidP="00F34ED6">
      <w:pPr>
        <w:spacing w:after="0" w:line="240" w:lineRule="auto"/>
      </w:pPr>
      <w:r>
        <w:separator/>
      </w:r>
    </w:p>
  </w:endnote>
  <w:endnote w:type="continuationSeparator" w:id="1">
    <w:p w:rsidR="006C0586" w:rsidRDefault="006C0586" w:rsidP="00F34E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0586" w:rsidRDefault="006C0586" w:rsidP="00F34ED6">
      <w:pPr>
        <w:spacing w:after="0" w:line="240" w:lineRule="auto"/>
      </w:pPr>
      <w:r>
        <w:separator/>
      </w:r>
    </w:p>
  </w:footnote>
  <w:footnote w:type="continuationSeparator" w:id="1">
    <w:p w:rsidR="006C0586" w:rsidRDefault="006C0586" w:rsidP="00F34E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250297"/>
      <w:docPartObj>
        <w:docPartGallery w:val="Page Numbers (Top of Page)"/>
        <w:docPartUnique/>
      </w:docPartObj>
    </w:sdtPr>
    <w:sdtContent>
      <w:p w:rsidR="00F34ED6" w:rsidRPr="00F34ED6" w:rsidRDefault="00F34ED6" w:rsidP="00F50461">
        <w:pPr>
          <w:pStyle w:val="Header"/>
          <w:spacing w:line="480" w:lineRule="auto"/>
          <w:rPr>
            <w:rFonts w:ascii="Times New Roman" w:hAnsi="Times New Roman" w:cs="Times New Roman"/>
            <w:sz w:val="24"/>
            <w:szCs w:val="24"/>
          </w:rPr>
        </w:pPr>
        <w:r w:rsidRPr="00F34ED6">
          <w:rPr>
            <w:rFonts w:ascii="Times New Roman" w:hAnsi="Times New Roman" w:cs="Times New Roman"/>
            <w:sz w:val="24"/>
            <w:szCs w:val="24"/>
          </w:rPr>
          <w:t xml:space="preserve">EMPLOYMENT AND LABOR LAW                                                                                          </w:t>
        </w:r>
        <w:r w:rsidR="00B2648B" w:rsidRPr="00F34ED6">
          <w:rPr>
            <w:rFonts w:ascii="Times New Roman" w:hAnsi="Times New Roman" w:cs="Times New Roman"/>
            <w:sz w:val="24"/>
            <w:szCs w:val="24"/>
          </w:rPr>
          <w:fldChar w:fldCharType="begin"/>
        </w:r>
        <w:r w:rsidRPr="00F34ED6">
          <w:rPr>
            <w:rFonts w:ascii="Times New Roman" w:hAnsi="Times New Roman" w:cs="Times New Roman"/>
            <w:sz w:val="24"/>
            <w:szCs w:val="24"/>
          </w:rPr>
          <w:instrText xml:space="preserve"> PAGE   \* MERGEFORMAT </w:instrText>
        </w:r>
        <w:r w:rsidR="00B2648B" w:rsidRPr="00F34ED6">
          <w:rPr>
            <w:rFonts w:ascii="Times New Roman" w:hAnsi="Times New Roman" w:cs="Times New Roman"/>
            <w:sz w:val="24"/>
            <w:szCs w:val="24"/>
          </w:rPr>
          <w:fldChar w:fldCharType="separate"/>
        </w:r>
        <w:r w:rsidR="0066327C">
          <w:rPr>
            <w:rFonts w:ascii="Times New Roman" w:hAnsi="Times New Roman" w:cs="Times New Roman"/>
            <w:noProof/>
            <w:sz w:val="24"/>
            <w:szCs w:val="24"/>
          </w:rPr>
          <w:t>3</w:t>
        </w:r>
        <w:r w:rsidR="00B2648B" w:rsidRPr="00F34ED6">
          <w:rPr>
            <w:rFonts w:ascii="Times New Roman" w:hAnsi="Times New Roman" w:cs="Times New Roman"/>
            <w:sz w:val="24"/>
            <w:szCs w:val="24"/>
          </w:rPr>
          <w:fldChar w:fldCharType="end"/>
        </w:r>
      </w:p>
    </w:sdtContent>
  </w:sdt>
  <w:p w:rsidR="00F34ED6" w:rsidRDefault="00F34ED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ED6" w:rsidRPr="00F34ED6" w:rsidRDefault="00F34ED6" w:rsidP="00F34ED6">
    <w:pPr>
      <w:pStyle w:val="Header"/>
      <w:spacing w:line="480" w:lineRule="auto"/>
      <w:rPr>
        <w:rFonts w:ascii="Times New Roman" w:hAnsi="Times New Roman" w:cs="Times New Roman"/>
        <w:sz w:val="24"/>
        <w:szCs w:val="24"/>
      </w:rPr>
    </w:pPr>
    <w:r w:rsidRPr="00F34ED6">
      <w:rPr>
        <w:rFonts w:ascii="Times New Roman" w:hAnsi="Times New Roman" w:cs="Times New Roman"/>
        <w:sz w:val="24"/>
        <w:szCs w:val="24"/>
      </w:rPr>
      <w:t xml:space="preserve">Running head: EMPLOYMENT AND LABOR LAW                                                                 </w:t>
    </w:r>
    <w:sdt>
      <w:sdtPr>
        <w:rPr>
          <w:rFonts w:ascii="Times New Roman" w:hAnsi="Times New Roman" w:cs="Times New Roman"/>
          <w:sz w:val="24"/>
          <w:szCs w:val="24"/>
        </w:rPr>
        <w:id w:val="8250300"/>
        <w:docPartObj>
          <w:docPartGallery w:val="Page Numbers (Top of Page)"/>
          <w:docPartUnique/>
        </w:docPartObj>
      </w:sdtPr>
      <w:sdtContent>
        <w:r w:rsidR="00B2648B" w:rsidRPr="00F34ED6">
          <w:rPr>
            <w:rFonts w:ascii="Times New Roman" w:hAnsi="Times New Roman" w:cs="Times New Roman"/>
            <w:sz w:val="24"/>
            <w:szCs w:val="24"/>
          </w:rPr>
          <w:fldChar w:fldCharType="begin"/>
        </w:r>
        <w:r w:rsidRPr="00F34ED6">
          <w:rPr>
            <w:rFonts w:ascii="Times New Roman" w:hAnsi="Times New Roman" w:cs="Times New Roman"/>
            <w:sz w:val="24"/>
            <w:szCs w:val="24"/>
          </w:rPr>
          <w:instrText xml:space="preserve"> PAGE   \* MERGEFORMAT </w:instrText>
        </w:r>
        <w:r w:rsidR="00B2648B" w:rsidRPr="00F34ED6">
          <w:rPr>
            <w:rFonts w:ascii="Times New Roman" w:hAnsi="Times New Roman" w:cs="Times New Roman"/>
            <w:sz w:val="24"/>
            <w:szCs w:val="24"/>
          </w:rPr>
          <w:fldChar w:fldCharType="separate"/>
        </w:r>
        <w:r w:rsidR="0066327C">
          <w:rPr>
            <w:rFonts w:ascii="Times New Roman" w:hAnsi="Times New Roman" w:cs="Times New Roman"/>
            <w:noProof/>
            <w:sz w:val="24"/>
            <w:szCs w:val="24"/>
          </w:rPr>
          <w:t>1</w:t>
        </w:r>
        <w:r w:rsidR="00B2648B" w:rsidRPr="00F34ED6">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85AF4"/>
    <w:rsid w:val="000A1556"/>
    <w:rsid w:val="000F065B"/>
    <w:rsid w:val="001A3F8A"/>
    <w:rsid w:val="002860C4"/>
    <w:rsid w:val="0030669C"/>
    <w:rsid w:val="00364E09"/>
    <w:rsid w:val="0038087F"/>
    <w:rsid w:val="003D795C"/>
    <w:rsid w:val="00403BA3"/>
    <w:rsid w:val="00466B13"/>
    <w:rsid w:val="004B51CB"/>
    <w:rsid w:val="00542286"/>
    <w:rsid w:val="0057296F"/>
    <w:rsid w:val="00627F70"/>
    <w:rsid w:val="0066327C"/>
    <w:rsid w:val="00685AF4"/>
    <w:rsid w:val="006C0586"/>
    <w:rsid w:val="006C25A2"/>
    <w:rsid w:val="00731630"/>
    <w:rsid w:val="009F6BC9"/>
    <w:rsid w:val="00AB218C"/>
    <w:rsid w:val="00B2648B"/>
    <w:rsid w:val="00B57F23"/>
    <w:rsid w:val="00E73A42"/>
    <w:rsid w:val="00F221EF"/>
    <w:rsid w:val="00F34ED6"/>
    <w:rsid w:val="00F50461"/>
    <w:rsid w:val="00FF4060"/>
    <w:rsid w:val="00FF51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4E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ED6"/>
  </w:style>
  <w:style w:type="paragraph" w:styleId="Footer">
    <w:name w:val="footer"/>
    <w:basedOn w:val="Normal"/>
    <w:link w:val="FooterChar"/>
    <w:uiPriority w:val="99"/>
    <w:semiHidden/>
    <w:unhideWhenUsed/>
    <w:rsid w:val="00F34ED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34ED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3468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2020-03-30T13:28:00Z</dcterms:created>
  <dcterms:modified xsi:type="dcterms:W3CDTF">2020-03-30T13:28:00Z</dcterms:modified>
</cp:coreProperties>
</file>